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814C8">
      <w:pPr>
        <w:pStyle w:val="3"/>
        <w:adjustRightInd w:val="0"/>
        <w:snapToGrid w:val="0"/>
        <w:spacing w:line="240" w:lineRule="auto"/>
        <w:ind w:firstLine="0" w:firstLineChars="0"/>
        <w:jc w:val="center"/>
        <w:rPr>
          <w:rFonts w:hint="eastAsia"/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</w:rPr>
        <w:t>环境监测计划</w:t>
      </w:r>
    </w:p>
    <w:p w14:paraId="7F67FFD9">
      <w:pPr>
        <w:pStyle w:val="3"/>
        <w:adjustRightInd w:val="0"/>
        <w:snapToGrid w:val="0"/>
        <w:spacing w:line="240" w:lineRule="auto"/>
        <w:ind w:firstLine="0" w:firstLineChars="0"/>
        <w:jc w:val="center"/>
        <w:rPr>
          <w:rFonts w:hint="eastAsia"/>
          <w:b/>
          <w:bCs/>
          <w:color w:val="auto"/>
          <w:sz w:val="36"/>
          <w:szCs w:val="36"/>
          <w:highlight w:val="none"/>
        </w:rPr>
      </w:pPr>
      <w:bookmarkStart w:id="1" w:name="_GoBack"/>
      <w:bookmarkEnd w:id="1"/>
    </w:p>
    <w:tbl>
      <w:tblPr>
        <w:tblStyle w:val="4"/>
        <w:tblW w:w="13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943"/>
        <w:gridCol w:w="2048"/>
        <w:gridCol w:w="2978"/>
        <w:gridCol w:w="2014"/>
        <w:gridCol w:w="965"/>
        <w:gridCol w:w="3257"/>
        <w:gridCol w:w="1554"/>
      </w:tblGrid>
      <w:tr w14:paraId="0AF4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noWrap w:val="0"/>
            <w:tcMar>
              <w:left w:w="6" w:type="dxa"/>
              <w:right w:w="6" w:type="dxa"/>
            </w:tcMar>
            <w:vAlign w:val="center"/>
          </w:tcPr>
          <w:p w14:paraId="2F787689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监测要素</w:t>
            </w: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540BDB26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监测点位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341E00D8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rFonts w:hint="eastAsia"/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监测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因子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241D56A7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监</w:t>
            </w:r>
            <w:r>
              <w:rPr>
                <w:color w:val="auto"/>
                <w:kern w:val="0"/>
                <w:sz w:val="21"/>
                <w:highlight w:val="none"/>
              </w:rPr>
              <w:t>测点数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5C6C6E06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监测频次</w:t>
            </w:r>
          </w:p>
        </w:tc>
        <w:tc>
          <w:tcPr>
            <w:tcW w:w="3257" w:type="dxa"/>
            <w:noWrap w:val="0"/>
            <w:tcMar>
              <w:left w:w="6" w:type="dxa"/>
              <w:right w:w="6" w:type="dxa"/>
            </w:tcMar>
            <w:vAlign w:val="center"/>
          </w:tcPr>
          <w:p w14:paraId="6A73A10D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rFonts w:hint="eastAsia"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执行标准</w:t>
            </w:r>
          </w:p>
        </w:tc>
        <w:tc>
          <w:tcPr>
            <w:tcW w:w="1554" w:type="dxa"/>
            <w:noWrap w:val="0"/>
            <w:tcMar>
              <w:left w:w="6" w:type="dxa"/>
              <w:right w:w="6" w:type="dxa"/>
            </w:tcMar>
            <w:vAlign w:val="center"/>
          </w:tcPr>
          <w:p w14:paraId="50A014A6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依据</w:t>
            </w:r>
          </w:p>
        </w:tc>
      </w:tr>
      <w:tr w14:paraId="4BCF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26B32240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rFonts w:hint="eastAsia"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highlight w:val="none"/>
              </w:rPr>
              <w:t>废气</w:t>
            </w: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07FE4574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食堂油烟排气筒（DA00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）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3A100972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油烟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236D0F03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08C79F2D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1次/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季度</w:t>
            </w:r>
          </w:p>
        </w:tc>
        <w:tc>
          <w:tcPr>
            <w:tcW w:w="3257" w:type="dxa"/>
            <w:noWrap w:val="0"/>
            <w:tcMar>
              <w:left w:w="6" w:type="dxa"/>
              <w:right w:w="6" w:type="dxa"/>
            </w:tcMar>
            <w:vAlign w:val="center"/>
          </w:tcPr>
          <w:p w14:paraId="19DB515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《饮食业油烟排放标准》(GB18483-2001)油烟排放标准</w:t>
            </w:r>
          </w:p>
        </w:tc>
        <w:tc>
          <w:tcPr>
            <w:tcW w:w="1554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036C24E4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</w:tr>
      <w:tr w14:paraId="2BA3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3C54C8A0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53A04C80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污水处理站无组织臭气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251F29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NH</w:t>
            </w:r>
            <w:r>
              <w:rPr>
                <w:color w:val="auto"/>
                <w:kern w:val="0"/>
                <w:sz w:val="21"/>
                <w:highlight w:val="none"/>
                <w:vertAlign w:val="subscript"/>
              </w:rPr>
              <w:t>3</w:t>
            </w:r>
            <w:r>
              <w:rPr>
                <w:color w:val="auto"/>
                <w:kern w:val="0"/>
                <w:sz w:val="21"/>
                <w:highlight w:val="none"/>
              </w:rPr>
              <w:t>、H</w:t>
            </w:r>
            <w:r>
              <w:rPr>
                <w:color w:val="auto"/>
                <w:kern w:val="0"/>
                <w:sz w:val="21"/>
                <w:highlight w:val="none"/>
                <w:vertAlign w:val="subscript"/>
              </w:rPr>
              <w:t>2</w:t>
            </w:r>
            <w:r>
              <w:rPr>
                <w:color w:val="auto"/>
                <w:kern w:val="0"/>
                <w:sz w:val="21"/>
                <w:highlight w:val="none"/>
              </w:rPr>
              <w:t>S、臭气浓</w:t>
            </w:r>
          </w:p>
          <w:p w14:paraId="73E218A9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度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3FCBE2A7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污水处理站周界外10m范围内的浓度最高点（监控点最多可设4个，参照点只设1个）</w:t>
            </w:r>
          </w:p>
        </w:tc>
        <w:tc>
          <w:tcPr>
            <w:tcW w:w="965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37BCB3B7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3257" w:type="dxa"/>
            <w:noWrap w:val="0"/>
            <w:tcMar>
              <w:left w:w="6" w:type="dxa"/>
              <w:right w:w="6" w:type="dxa"/>
            </w:tcMar>
            <w:vAlign w:val="center"/>
          </w:tcPr>
          <w:p w14:paraId="6072789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《医疗机构水污染物排放标准》(GB18466-2005)表3中的废气排放要求</w:t>
            </w: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2C097870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</w:tr>
      <w:tr w14:paraId="4210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6B4A6894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废水</w:t>
            </w: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362682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污水站接触池出口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17485FA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总余氯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6551186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04ABE5DF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在线监测</w:t>
            </w:r>
          </w:p>
        </w:tc>
        <w:tc>
          <w:tcPr>
            <w:tcW w:w="3257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5EA59D5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《医疗机构水污染物排放标准》（GB18466-2005）中表2预处理标准，</w:t>
            </w:r>
            <w:r>
              <w:rPr>
                <w:color w:val="auto"/>
                <w:sz w:val="21"/>
                <w:szCs w:val="21"/>
                <w:highlight w:val="none"/>
              </w:rPr>
              <w:t>NH</w:t>
            </w:r>
            <w:r>
              <w:rPr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color w:val="auto"/>
                <w:sz w:val="21"/>
                <w:szCs w:val="21"/>
                <w:highlight w:val="none"/>
              </w:rPr>
              <w:t>-N、TP按照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成都市第四再生水厂</w:t>
            </w:r>
            <w:r>
              <w:rPr>
                <w:color w:val="auto"/>
                <w:sz w:val="21"/>
                <w:szCs w:val="21"/>
                <w:highlight w:val="none"/>
              </w:rPr>
              <w:t>进水水质浓度要求规定排放标准</w:t>
            </w: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34365A59">
            <w:pPr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</w:tr>
      <w:tr w14:paraId="2E78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4B654E02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735AA5F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污水站进水口、总排口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441429D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COD、NH</w:t>
            </w:r>
            <w:r>
              <w:rPr>
                <w:color w:val="auto"/>
                <w:kern w:val="0"/>
                <w:sz w:val="21"/>
                <w:highlight w:val="none"/>
                <w:vertAlign w:val="subscript"/>
              </w:rPr>
              <w:t>3</w:t>
            </w:r>
            <w:r>
              <w:rPr>
                <w:color w:val="auto"/>
                <w:kern w:val="0"/>
                <w:sz w:val="21"/>
                <w:highlight w:val="none"/>
              </w:rPr>
              <w:t>-N、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总磷、</w:t>
            </w:r>
            <w:r>
              <w:rPr>
                <w:color w:val="auto"/>
                <w:kern w:val="0"/>
                <w:sz w:val="21"/>
                <w:highlight w:val="none"/>
              </w:rPr>
              <w:t>流量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0EE249C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2</w:t>
            </w:r>
          </w:p>
        </w:tc>
        <w:tc>
          <w:tcPr>
            <w:tcW w:w="965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58C53BC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325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406C288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4E1E1046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6A46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5BBA3944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2048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 w14:paraId="3DF6F06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医院废水总排口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07145F0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pH值、总余氯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255707A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0DFCC95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12h/次</w:t>
            </w:r>
          </w:p>
        </w:tc>
        <w:tc>
          <w:tcPr>
            <w:tcW w:w="325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4237DD6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6C1A2634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0502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0971527F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22438D6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5F8FEF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SS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1E9F0B0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0A22186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1次/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周</w:t>
            </w:r>
          </w:p>
        </w:tc>
        <w:tc>
          <w:tcPr>
            <w:tcW w:w="325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6F4A075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6C4CC1B2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0E9D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5122811B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1C8253C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4AD17A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粪大肠菌群数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4D4B896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1F0099C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1次/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月</w:t>
            </w:r>
          </w:p>
        </w:tc>
        <w:tc>
          <w:tcPr>
            <w:tcW w:w="325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7A461A3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4A883C7D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1FFD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20EB0217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5ECA254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5062225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BOD</w:t>
            </w:r>
            <w:r>
              <w:rPr>
                <w:color w:val="auto"/>
                <w:kern w:val="0"/>
                <w:sz w:val="21"/>
                <w:highlight w:val="none"/>
                <w:vertAlign w:val="subscript"/>
              </w:rPr>
              <w:t>5</w:t>
            </w:r>
            <w:r>
              <w:rPr>
                <w:color w:val="auto"/>
                <w:kern w:val="0"/>
                <w:sz w:val="21"/>
                <w:highlight w:val="none"/>
              </w:rPr>
              <w:t>、NH</w:t>
            </w:r>
            <w:r>
              <w:rPr>
                <w:color w:val="auto"/>
                <w:kern w:val="0"/>
                <w:sz w:val="21"/>
                <w:highlight w:val="none"/>
                <w:vertAlign w:val="subscript"/>
              </w:rPr>
              <w:t>3</w:t>
            </w:r>
            <w:r>
              <w:rPr>
                <w:color w:val="auto"/>
                <w:kern w:val="0"/>
                <w:sz w:val="21"/>
                <w:highlight w:val="none"/>
              </w:rPr>
              <w:t>-N、TP、石油类、挥发酚、动植物油、阴离子表面活性剂</w:t>
            </w: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、肠道致病菌、肠道病毒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060743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4B5FE52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1次/季度</w:t>
            </w:r>
          </w:p>
        </w:tc>
        <w:tc>
          <w:tcPr>
            <w:tcW w:w="325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1E8ED02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20652AE3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355E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0" w:hRule="atLeast"/>
          <w:jc w:val="center"/>
        </w:trPr>
        <w:tc>
          <w:tcPr>
            <w:tcW w:w="943" w:type="dxa"/>
            <w:noWrap w:val="0"/>
            <w:tcMar>
              <w:left w:w="6" w:type="dxa"/>
              <w:right w:w="6" w:type="dxa"/>
            </w:tcMar>
            <w:vAlign w:val="center"/>
          </w:tcPr>
          <w:p w14:paraId="1681C494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噪声</w:t>
            </w: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0832552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厂界四周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64E9AF9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</w:rPr>
              <w:t>等效连续</w:t>
            </w:r>
            <w:r>
              <w:rPr>
                <w:rFonts w:hint="eastAsia" w:ascii="TimesNewRomanPSMT" w:hAnsi="TimesNewRomanPSMT" w:eastAsia="TimesNewRomanPSMT"/>
                <w:color w:val="auto"/>
                <w:sz w:val="21"/>
                <w:highlight w:val="none"/>
              </w:rPr>
              <w:t>A</w:t>
            </w:r>
            <w:r>
              <w:rPr>
                <w:rFonts w:hint="eastAsia" w:ascii="宋体" w:hAnsi="宋体"/>
                <w:color w:val="auto"/>
                <w:sz w:val="21"/>
                <w:highlight w:val="none"/>
              </w:rPr>
              <w:t>声级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0DD15E9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4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0C5C1DB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1次/季度</w:t>
            </w:r>
            <w:r>
              <w:rPr>
                <w:color w:val="auto"/>
                <w:kern w:val="0"/>
                <w:sz w:val="21"/>
                <w:highlight w:val="none"/>
              </w:rPr>
              <w:t>，昼夜各1次</w:t>
            </w:r>
          </w:p>
        </w:tc>
        <w:tc>
          <w:tcPr>
            <w:tcW w:w="3257" w:type="dxa"/>
            <w:noWrap w:val="0"/>
            <w:tcMar>
              <w:left w:w="6" w:type="dxa"/>
              <w:right w:w="6" w:type="dxa"/>
            </w:tcMar>
            <w:vAlign w:val="center"/>
          </w:tcPr>
          <w:p w14:paraId="4135430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</w:rPr>
              <w:t>《工业企业厂界环境噪声排放标准》(GB12348-2008)中相关限值要求</w:t>
            </w:r>
          </w:p>
        </w:tc>
        <w:tc>
          <w:tcPr>
            <w:tcW w:w="155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 w14:paraId="1CBD19BF">
            <w:pPr>
              <w:tabs>
                <w:tab w:val="center" w:pos="4669"/>
              </w:tabs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</w:p>
        </w:tc>
      </w:tr>
      <w:tr w14:paraId="5C9D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53" w:hRule="atLeast"/>
          <w:jc w:val="center"/>
        </w:trPr>
        <w:tc>
          <w:tcPr>
            <w:tcW w:w="943" w:type="dxa"/>
            <w:noWrap w:val="0"/>
            <w:tcMar>
              <w:left w:w="6" w:type="dxa"/>
              <w:right w:w="6" w:type="dxa"/>
            </w:tcMar>
            <w:vAlign w:val="center"/>
          </w:tcPr>
          <w:p w14:paraId="7D90EF33">
            <w:pPr>
              <w:tabs>
                <w:tab w:val="center" w:pos="4669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地下水</w:t>
            </w:r>
          </w:p>
        </w:tc>
        <w:tc>
          <w:tcPr>
            <w:tcW w:w="2048" w:type="dxa"/>
            <w:noWrap w:val="0"/>
            <w:tcMar>
              <w:left w:w="6" w:type="dxa"/>
              <w:right w:w="6" w:type="dxa"/>
            </w:tcMar>
            <w:vAlign w:val="center"/>
          </w:tcPr>
          <w:p w14:paraId="3E0E82D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院区监控井（</w:t>
            </w:r>
            <w:bookmarkStart w:id="0" w:name="_Hlk88920981"/>
            <w:r>
              <w:rPr>
                <w:color w:val="auto"/>
                <w:kern w:val="0"/>
                <w:sz w:val="21"/>
                <w:highlight w:val="none"/>
              </w:rPr>
              <w:t>污水处理站下游绿化带</w:t>
            </w:r>
            <w:bookmarkEnd w:id="0"/>
            <w:r>
              <w:rPr>
                <w:color w:val="auto"/>
                <w:kern w:val="0"/>
                <w:sz w:val="21"/>
                <w:highlight w:val="none"/>
              </w:rPr>
              <w:t>）</w:t>
            </w:r>
          </w:p>
        </w:tc>
        <w:tc>
          <w:tcPr>
            <w:tcW w:w="2978" w:type="dxa"/>
            <w:noWrap w:val="0"/>
            <w:tcMar>
              <w:left w:w="6" w:type="dxa"/>
              <w:right w:w="6" w:type="dxa"/>
            </w:tcMar>
            <w:vAlign w:val="center"/>
          </w:tcPr>
          <w:p w14:paraId="0CDB957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水位、pH、氨氮、总硬度、耗氧量、溶解性总固体、挥发酚、硫酸盐、氯化物、总大肠菌群、菌落总数</w:t>
            </w:r>
          </w:p>
        </w:tc>
        <w:tc>
          <w:tcPr>
            <w:tcW w:w="2014" w:type="dxa"/>
            <w:noWrap w:val="0"/>
            <w:tcMar>
              <w:left w:w="6" w:type="dxa"/>
              <w:right w:w="6" w:type="dxa"/>
            </w:tcMar>
            <w:vAlign w:val="center"/>
          </w:tcPr>
          <w:p w14:paraId="40D3D8F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965" w:type="dxa"/>
            <w:noWrap w:val="0"/>
            <w:tcMar>
              <w:left w:w="6" w:type="dxa"/>
              <w:right w:w="6" w:type="dxa"/>
            </w:tcMar>
            <w:vAlign w:val="center"/>
          </w:tcPr>
          <w:p w14:paraId="79CF70F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1次/年</w:t>
            </w:r>
          </w:p>
        </w:tc>
        <w:tc>
          <w:tcPr>
            <w:tcW w:w="3257" w:type="dxa"/>
            <w:noWrap w:val="0"/>
            <w:tcMar>
              <w:left w:w="6" w:type="dxa"/>
              <w:right w:w="6" w:type="dxa"/>
            </w:tcMar>
            <w:vAlign w:val="center"/>
          </w:tcPr>
          <w:p w14:paraId="3F48D4D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auto"/>
                <w:kern w:val="0"/>
                <w:sz w:val="21"/>
                <w:highlight w:val="none"/>
              </w:rPr>
            </w:pPr>
            <w:r>
              <w:rPr>
                <w:color w:val="auto"/>
                <w:kern w:val="0"/>
                <w:sz w:val="21"/>
                <w:highlight w:val="none"/>
              </w:rPr>
              <w:t>《地下水环境质量标准》（GB/T14848-2017）中Ⅲ类标准</w:t>
            </w:r>
          </w:p>
        </w:tc>
        <w:tc>
          <w:tcPr>
            <w:tcW w:w="1554" w:type="dxa"/>
            <w:noWrap w:val="0"/>
            <w:tcMar>
              <w:left w:w="6" w:type="dxa"/>
              <w:right w:w="6" w:type="dxa"/>
            </w:tcMar>
            <w:vAlign w:val="center"/>
          </w:tcPr>
          <w:p w14:paraId="0237AF9B">
            <w:pPr>
              <w:tabs>
                <w:tab w:val="center" w:pos="4669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auto"/>
                <w:sz w:val="21"/>
                <w:highlight w:val="none"/>
              </w:rPr>
            </w:pPr>
            <w:r>
              <w:rPr>
                <w:bCs/>
                <w:color w:val="auto"/>
                <w:sz w:val="21"/>
                <w:highlight w:val="none"/>
              </w:rPr>
              <w:t>《地下水环境监测技术规范》（HJ/T164－2004）</w:t>
            </w:r>
          </w:p>
        </w:tc>
      </w:tr>
    </w:tbl>
    <w:p w14:paraId="1A5927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6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wordWrap w:val="0"/>
      <w:spacing w:line="360" w:lineRule="auto"/>
      <w:ind w:firstLine="200" w:firstLine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2025-03-14T03:30:37Z</dcterms:created>
  <dc:creator>Lenovo</dc:creator>
  <cp:lastModifiedBy>肖沐颜</cp:lastModifiedBy>
  <dcterms:modified xsi:type="dcterms:W3CDTF">2025-03-14T03:31:07Z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eyJoZGlkIjoiMzE1OGQyZGM2Njk0ZTJmMmY3N2ZlNWI3YWJmMTUwN2IiLCJ1c2VySWQiOiIxNjQ2MzAzODEyIn0=</vt:lpwstr>
  </property>
  <property fmtid="{D5CDD505-2E9C-101B-9397-08002B2CF9AE}" pid="4" name="ICV">
    <vt:lpwstr>D0C7B233214A46AC9670C302195C46AD_12</vt:lpwstr>
  </property>
</Properties>
</file>